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CD4A2C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12715C" w:rsidP="009113D4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15 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Haziran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3F5F0A8" wp14:editId="1D1E391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Mart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proofErr w:type="spellStart"/>
      <w:r w:rsidR="000F3A7D">
        <w:rPr>
          <w:rFonts w:ascii="Times New Roman" w:hAnsi="Times New Roman" w:cs="Times New Roman"/>
          <w:b/>
        </w:rPr>
        <w:t>Hanehalkı</w:t>
      </w:r>
      <w:proofErr w:type="spellEnd"/>
      <w:r w:rsidR="000F3A7D">
        <w:rPr>
          <w:rFonts w:ascii="Times New Roman" w:hAnsi="Times New Roman" w:cs="Times New Roman"/>
          <w:b/>
        </w:rPr>
        <w:t xml:space="preserve">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15 Haziran 2017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1E65DA" w:rsidRDefault="00670F81" w:rsidP="009113D4">
      <w:pPr>
        <w:pStyle w:val="Balk2"/>
        <w:jc w:val="both"/>
      </w:pPr>
      <w:r>
        <w:t>2017</w:t>
      </w:r>
      <w:r w:rsidR="0012715C">
        <w:t>’</w:t>
      </w:r>
      <w:r>
        <w:t>nin Mart</w:t>
      </w:r>
      <w:r w:rsidR="0012715C">
        <w:t xml:space="preserve"> ayında Türkiye’de toplam işsizlik</w:t>
      </w:r>
      <w:r w:rsidR="00D605AD">
        <w:t xml:space="preserve"> oranı</w:t>
      </w:r>
      <w:r w:rsidR="0012715C">
        <w:t xml:space="preserve"> </w:t>
      </w:r>
      <w:r>
        <w:t>1,6 puanlık artış ile %11,7</w:t>
      </w:r>
      <w:r w:rsidR="001E65DA">
        <w:t xml:space="preserve">, </w:t>
      </w:r>
      <w:r w:rsidR="00F21401">
        <w:t xml:space="preserve">tarım dışı </w:t>
      </w:r>
      <w:r w:rsidR="0012715C">
        <w:t xml:space="preserve">işsizlik </w:t>
      </w:r>
      <w:r w:rsidR="00D605AD">
        <w:t xml:space="preserve">oranı </w:t>
      </w:r>
      <w:r w:rsidR="0012715C">
        <w:t xml:space="preserve">ise </w:t>
      </w:r>
      <w:r>
        <w:t>1,8 puanlık artış ile %13,7</w:t>
      </w:r>
      <w:r w:rsidR="00C67B1D">
        <w:t xml:space="preserve"> olarak gerçekleşti</w:t>
      </w:r>
      <w:r w:rsidR="00D605AD">
        <w:t>. Genç nüfusta</w:t>
      </w:r>
      <w:r w:rsidR="001E65DA">
        <w:t xml:space="preserve"> işsizlik</w:t>
      </w:r>
      <w:r w:rsidR="0012715C">
        <w:t xml:space="preserve"> </w:t>
      </w:r>
      <w:r w:rsidR="00D605AD">
        <w:t xml:space="preserve">oranı ise </w:t>
      </w:r>
      <w:r w:rsidR="0012715C">
        <w:t xml:space="preserve">geçen yılın aynı dönemine göre </w:t>
      </w:r>
      <w:r>
        <w:t>4,4 puan artarak %21,4</w:t>
      </w:r>
      <w:r w:rsidR="001E65DA">
        <w:t xml:space="preserve"> oranı</w:t>
      </w:r>
      <w:r w:rsidR="00C67B1D">
        <w:t>nda gerçekleşti.</w:t>
      </w:r>
    </w:p>
    <w:p w:rsidR="001E65DA" w:rsidRPr="001E65DA" w:rsidRDefault="001E65DA" w:rsidP="009113D4">
      <w:pPr>
        <w:jc w:val="both"/>
      </w:pPr>
    </w:p>
    <w:p w:rsidR="00B957A3" w:rsidRDefault="00236A4A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 2017’de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 xml:space="preserve">rde istihdam edilen kişi sayısı </w:t>
      </w:r>
      <w:r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>
        <w:rPr>
          <w:rFonts w:ascii="Times New Roman" w:hAnsi="Times New Roman" w:cs="Times New Roman"/>
        </w:rPr>
        <w:t>496</w:t>
      </w:r>
      <w:r w:rsidR="0012715C">
        <w:rPr>
          <w:rFonts w:ascii="Times New Roman" w:hAnsi="Times New Roman" w:cs="Times New Roman"/>
        </w:rPr>
        <w:t xml:space="preserve"> bin </w:t>
      </w:r>
      <w:r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27 milyon </w:t>
      </w:r>
      <w:r>
        <w:rPr>
          <w:rFonts w:ascii="Times New Roman" w:hAnsi="Times New Roman" w:cs="Times New Roman"/>
        </w:rPr>
        <w:t>489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C707D3">
        <w:rPr>
          <w:rFonts w:ascii="Times New Roman" w:hAnsi="Times New Roman" w:cs="Times New Roman"/>
          <w:b/>
          <w:szCs w:val="18"/>
        </w:rPr>
        <w:t>Mart 2016- Mart 2017</w:t>
      </w:r>
    </w:p>
    <w:p w:rsidR="00F87CCD" w:rsidRDefault="00F87CCD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noProof/>
        </w:rPr>
        <w:drawing>
          <wp:inline distT="0" distB="0" distL="0" distR="0" wp14:anchorId="2B8216CE" wp14:editId="38B1ADAF">
            <wp:extent cx="6030686" cy="2656114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0F534F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Mart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azalarak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F87CCD">
        <w:rPr>
          <w:rFonts w:ascii="Times New Roman" w:hAnsi="Times New Roman" w:cs="Times New Roman"/>
          <w:szCs w:val="18"/>
        </w:rPr>
        <w:t>20,</w:t>
      </w:r>
      <w:r>
        <w:rPr>
          <w:rFonts w:ascii="Times New Roman" w:hAnsi="Times New Roman" w:cs="Times New Roman"/>
          <w:szCs w:val="18"/>
        </w:rPr>
        <w:t>2</w:t>
      </w:r>
      <w:r w:rsidR="0012715C">
        <w:rPr>
          <w:rFonts w:ascii="Times New Roman" w:hAnsi="Times New Roman" w:cs="Times New Roman"/>
          <w:szCs w:val="18"/>
        </w:rPr>
        <w:t xml:space="preserve"> milyon olarak gerçekleşirken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D605AD">
        <w:rPr>
          <w:rFonts w:ascii="Times New Roman" w:hAnsi="Times New Roman" w:cs="Times New Roman"/>
          <w:szCs w:val="18"/>
        </w:rPr>
        <w:t>8</w:t>
      </w:r>
      <w:r w:rsidR="00F87CCD">
        <w:rPr>
          <w:rFonts w:ascii="Times New Roman" w:hAnsi="Times New Roman" w:cs="Times New Roman"/>
          <w:szCs w:val="18"/>
        </w:rPr>
        <w:t>,</w:t>
      </w:r>
      <w:r w:rsidR="00D605AD">
        <w:rPr>
          <w:rFonts w:ascii="Times New Roman" w:hAnsi="Times New Roman" w:cs="Times New Roman"/>
          <w:szCs w:val="18"/>
        </w:rPr>
        <w:t>3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>bir önceki yılın aynı dönemine göre a</w:t>
      </w:r>
      <w:r>
        <w:rPr>
          <w:rFonts w:ascii="Times New Roman" w:hAnsi="Times New Roman" w:cs="Times New Roman"/>
          <w:szCs w:val="18"/>
        </w:rPr>
        <w:t>rta</w:t>
      </w:r>
      <w:r w:rsidR="00F87CCD">
        <w:rPr>
          <w:rFonts w:ascii="Times New Roman" w:hAnsi="Times New Roman" w:cs="Times New Roman"/>
          <w:szCs w:val="18"/>
        </w:rPr>
        <w:t>rak 28,</w:t>
      </w:r>
      <w:r>
        <w:rPr>
          <w:rFonts w:ascii="Times New Roman" w:hAnsi="Times New Roman" w:cs="Times New Roman"/>
          <w:szCs w:val="18"/>
        </w:rPr>
        <w:t>5 milyon kişiye ulaştı</w:t>
      </w:r>
      <w:r w:rsidR="00F12E5E">
        <w:rPr>
          <w:rFonts w:ascii="Times New Roman" w:hAnsi="Times New Roman" w:cs="Times New Roman"/>
          <w:szCs w:val="18"/>
        </w:rPr>
        <w:t xml:space="preserve">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F87CCD">
        <w:rPr>
          <w:rFonts w:ascii="Times New Roman" w:hAnsi="Times New Roman" w:cs="Times New Roman"/>
          <w:szCs w:val="18"/>
        </w:rPr>
        <w:t>istihdamı 5,</w:t>
      </w:r>
      <w:r w:rsidR="00D605AD">
        <w:rPr>
          <w:rFonts w:ascii="Times New Roman" w:hAnsi="Times New Roman" w:cs="Times New Roman"/>
          <w:szCs w:val="18"/>
        </w:rPr>
        <w:t>1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4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Mart 2017</w:t>
      </w:r>
    </w:p>
    <w:p w:rsidR="00F87CCD" w:rsidRDefault="00F87CCD" w:rsidP="009113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360EC0B" wp14:editId="084C10D4">
            <wp:extent cx="5617029" cy="2188028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333A6F">
        <w:rPr>
          <w:rFonts w:ascii="Times New Roman" w:hAnsi="Times New Roman" w:cs="Times New Roman"/>
          <w:sz w:val="24"/>
        </w:rPr>
        <w:t>1,3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333A6F">
        <w:rPr>
          <w:rFonts w:ascii="Times New Roman" w:hAnsi="Times New Roman" w:cs="Times New Roman"/>
          <w:sz w:val="24"/>
        </w:rPr>
        <w:t>la yüzde 32</w:t>
      </w:r>
      <w:r>
        <w:rPr>
          <w:rFonts w:ascii="Times New Roman" w:hAnsi="Times New Roman" w:cs="Times New Roman"/>
          <w:sz w:val="24"/>
        </w:rPr>
        <w:t>,9’</w:t>
      </w:r>
      <w:r w:rsidR="00C67B1D">
        <w:rPr>
          <w:rFonts w:ascii="Times New Roman" w:hAnsi="Times New Roman" w:cs="Times New Roman"/>
          <w:sz w:val="24"/>
        </w:rPr>
        <w:t>a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F21401">
        <w:rPr>
          <w:rFonts w:ascii="Times New Roman" w:hAnsi="Times New Roman" w:cs="Times New Roman"/>
          <w:sz w:val="24"/>
        </w:rPr>
        <w:t xml:space="preserve">de </w:t>
      </w:r>
      <w:r w:rsidR="00333A6F">
        <w:rPr>
          <w:rFonts w:ascii="Times New Roman" w:hAnsi="Times New Roman" w:cs="Times New Roman"/>
          <w:sz w:val="24"/>
        </w:rPr>
        <w:t xml:space="preserve">0,4 puan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333A6F">
        <w:rPr>
          <w:rFonts w:ascii="Times New Roman" w:hAnsi="Times New Roman" w:cs="Times New Roman"/>
          <w:sz w:val="24"/>
        </w:rPr>
        <w:t>1,9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>7 Mart</w:t>
      </w:r>
      <w:r>
        <w:rPr>
          <w:rFonts w:ascii="Times New Roman" w:hAnsi="Times New Roman" w:cs="Times New Roman"/>
          <w:sz w:val="24"/>
        </w:rPr>
        <w:t>’ta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işgücüne katılım oranı yüzde 52,2</w:t>
      </w:r>
      <w:r>
        <w:rPr>
          <w:rFonts w:ascii="Times New Roman" w:hAnsi="Times New Roman" w:cs="Times New Roman"/>
          <w:sz w:val="24"/>
        </w:rPr>
        <w:t xml:space="preserve"> olarak gerçekleşti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1A195B">
        <w:rPr>
          <w:rFonts w:ascii="Times New Roman" w:hAnsi="Times New Roman" w:cs="Times New Roman"/>
        </w:rPr>
        <w:t>15 yaş ve üstündeki bireylerde işsiz s</w:t>
      </w:r>
      <w:r w:rsidR="001A195B" w:rsidRPr="005D1CCA">
        <w:rPr>
          <w:rFonts w:ascii="Times New Roman" w:hAnsi="Times New Roman" w:cs="Times New Roman"/>
        </w:rPr>
        <w:t>ayısı</w:t>
      </w:r>
      <w:r w:rsidR="00333A6F">
        <w:rPr>
          <w:rFonts w:ascii="Times New Roman" w:hAnsi="Times New Roman" w:cs="Times New Roman"/>
        </w:rPr>
        <w:t xml:space="preserve"> ise 2016</w:t>
      </w:r>
      <w:r>
        <w:rPr>
          <w:rFonts w:ascii="Times New Roman" w:hAnsi="Times New Roman" w:cs="Times New Roman"/>
        </w:rPr>
        <w:t xml:space="preserve"> yılının aynı dönemine</w:t>
      </w:r>
      <w:r w:rsidR="002A35B5">
        <w:rPr>
          <w:rFonts w:ascii="Times New Roman" w:hAnsi="Times New Roman" w:cs="Times New Roman"/>
        </w:rPr>
        <w:t xml:space="preserve"> göre </w:t>
      </w:r>
      <w:r w:rsidR="00496F35">
        <w:rPr>
          <w:rFonts w:ascii="Times New Roman" w:hAnsi="Times New Roman" w:cs="Times New Roman"/>
        </w:rPr>
        <w:t>artarak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333A6F">
        <w:rPr>
          <w:rFonts w:ascii="Times New Roman" w:hAnsi="Times New Roman" w:cs="Times New Roman"/>
        </w:rPr>
        <w:t>642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141A4E">
        <w:rPr>
          <w:rFonts w:ascii="Times New Roman" w:hAnsi="Times New Roman" w:cs="Times New Roman"/>
        </w:rPr>
        <w:t xml:space="preserve"> kişiye çıktı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toplamda yüzde 11</w:t>
      </w:r>
      <w:r w:rsidR="00363F39">
        <w:rPr>
          <w:rFonts w:ascii="Times New Roman" w:hAnsi="Times New Roman" w:cs="Times New Roman"/>
        </w:rPr>
        <w:t>,</w:t>
      </w:r>
      <w:r w:rsidR="00664D6B">
        <w:rPr>
          <w:rFonts w:ascii="Times New Roman" w:hAnsi="Times New Roman" w:cs="Times New Roman"/>
        </w:rPr>
        <w:t>7</w:t>
      </w:r>
      <w:r w:rsidR="00D605AD">
        <w:rPr>
          <w:rFonts w:ascii="Times New Roman" w:hAnsi="Times New Roman" w:cs="Times New Roman"/>
        </w:rPr>
        <w:t>’ye</w:t>
      </w:r>
      <w:r w:rsidR="00664D6B">
        <w:rPr>
          <w:rFonts w:ascii="Times New Roman" w:hAnsi="Times New Roman" w:cs="Times New Roman"/>
        </w:rPr>
        <w:t>; kadınlarda yüzde 14</w:t>
      </w:r>
      <w:r>
        <w:rPr>
          <w:rFonts w:ascii="Times New Roman" w:hAnsi="Times New Roman" w:cs="Times New Roman"/>
        </w:rPr>
        <w:t>,</w:t>
      </w:r>
      <w:r w:rsidR="00664D6B">
        <w:rPr>
          <w:rFonts w:ascii="Times New Roman" w:hAnsi="Times New Roman" w:cs="Times New Roman"/>
        </w:rPr>
        <w:t>3</w:t>
      </w:r>
      <w:r w:rsidR="00D605AD">
        <w:rPr>
          <w:rFonts w:ascii="Times New Roman" w:hAnsi="Times New Roman" w:cs="Times New Roman"/>
        </w:rPr>
        <w:t>’e</w:t>
      </w:r>
      <w:r w:rsidR="001A195B">
        <w:rPr>
          <w:rFonts w:ascii="Times New Roman" w:hAnsi="Times New Roman" w:cs="Times New Roman"/>
        </w:rPr>
        <w:t xml:space="preserve">, erkeklerde ise yüzde </w:t>
      </w:r>
      <w:r w:rsidR="00664D6B">
        <w:rPr>
          <w:rFonts w:ascii="Times New Roman" w:hAnsi="Times New Roman" w:cs="Times New Roman"/>
        </w:rPr>
        <w:t>10,5</w:t>
      </w:r>
      <w:r w:rsidR="001A195B">
        <w:rPr>
          <w:rFonts w:ascii="Times New Roman" w:hAnsi="Times New Roman" w:cs="Times New Roman"/>
        </w:rPr>
        <w:t>’</w:t>
      </w:r>
      <w:r w:rsidR="00496F35">
        <w:rPr>
          <w:rFonts w:ascii="Times New Roman" w:hAnsi="Times New Roman" w:cs="Times New Roman"/>
        </w:rPr>
        <w:t xml:space="preserve">e ulaşmış </w:t>
      </w:r>
      <w:r w:rsidR="0027053F">
        <w:rPr>
          <w:rFonts w:ascii="Times New Roman" w:hAnsi="Times New Roman" w:cs="Times New Roman"/>
        </w:rPr>
        <w:t>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15-64 ya grubu,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471191">
        <w:rPr>
          <w:rFonts w:ascii="Times New Roman" w:hAnsi="Times New Roman" w:cs="Times New Roman"/>
          <w:b/>
          <w:szCs w:val="18"/>
        </w:rPr>
        <w:t>Mart 2017</w:t>
      </w:r>
    </w:p>
    <w:p w:rsidR="00ED7524" w:rsidRPr="00E93C1B" w:rsidRDefault="00471191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noProof/>
        </w:rPr>
        <w:drawing>
          <wp:inline distT="0" distB="0" distL="0" distR="0" wp14:anchorId="692E5CA5" wp14:editId="32A518A8">
            <wp:extent cx="5562600" cy="2068286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  <w:bookmarkStart w:id="0" w:name="_GoBack"/>
      <w:bookmarkEnd w:id="0"/>
    </w:p>
    <w:sectPr w:rsidR="00ED7524" w:rsidRPr="00E93C1B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48" w:rsidRDefault="00074A48" w:rsidP="00C04441">
      <w:pPr>
        <w:spacing w:after="0" w:line="240" w:lineRule="auto"/>
      </w:pPr>
      <w:r>
        <w:separator/>
      </w:r>
    </w:p>
  </w:endnote>
  <w:endnote w:type="continuationSeparator" w:id="0">
    <w:p w:rsidR="00074A48" w:rsidRDefault="00074A48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48" w:rsidRDefault="00074A48" w:rsidP="00C04441">
      <w:pPr>
        <w:spacing w:after="0" w:line="240" w:lineRule="auto"/>
      </w:pPr>
      <w:r>
        <w:separator/>
      </w:r>
    </w:p>
  </w:footnote>
  <w:footnote w:type="continuationSeparator" w:id="0">
    <w:p w:rsidR="00074A48" w:rsidRDefault="00074A48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701FD"/>
    <w:rsid w:val="00074A48"/>
    <w:rsid w:val="000B7EA9"/>
    <w:rsid w:val="000D18BE"/>
    <w:rsid w:val="000E7256"/>
    <w:rsid w:val="000F055A"/>
    <w:rsid w:val="000F3A7D"/>
    <w:rsid w:val="000F534F"/>
    <w:rsid w:val="001243A0"/>
    <w:rsid w:val="0012715C"/>
    <w:rsid w:val="00141A4E"/>
    <w:rsid w:val="001544CF"/>
    <w:rsid w:val="00157358"/>
    <w:rsid w:val="00160C8F"/>
    <w:rsid w:val="001A195B"/>
    <w:rsid w:val="001A69D2"/>
    <w:rsid w:val="001E11A2"/>
    <w:rsid w:val="001E5A63"/>
    <w:rsid w:val="001E65DA"/>
    <w:rsid w:val="001F7633"/>
    <w:rsid w:val="00220318"/>
    <w:rsid w:val="00233BD5"/>
    <w:rsid w:val="00234AE3"/>
    <w:rsid w:val="00236A4A"/>
    <w:rsid w:val="0027053F"/>
    <w:rsid w:val="00271FF8"/>
    <w:rsid w:val="002A35B5"/>
    <w:rsid w:val="002B53E4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747"/>
    <w:rsid w:val="003E0504"/>
    <w:rsid w:val="00402F84"/>
    <w:rsid w:val="00412D10"/>
    <w:rsid w:val="00424CC0"/>
    <w:rsid w:val="00432DF5"/>
    <w:rsid w:val="00452794"/>
    <w:rsid w:val="00461AA0"/>
    <w:rsid w:val="00471191"/>
    <w:rsid w:val="00496F35"/>
    <w:rsid w:val="00516747"/>
    <w:rsid w:val="00517288"/>
    <w:rsid w:val="00522A6C"/>
    <w:rsid w:val="005405F5"/>
    <w:rsid w:val="005500E3"/>
    <w:rsid w:val="0056193B"/>
    <w:rsid w:val="00574C38"/>
    <w:rsid w:val="005A5460"/>
    <w:rsid w:val="005C53F8"/>
    <w:rsid w:val="006020BD"/>
    <w:rsid w:val="00664D6B"/>
    <w:rsid w:val="00670F81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E2233"/>
    <w:rsid w:val="007E6560"/>
    <w:rsid w:val="007F7E1F"/>
    <w:rsid w:val="00824AB5"/>
    <w:rsid w:val="00835D94"/>
    <w:rsid w:val="008820C9"/>
    <w:rsid w:val="008A575D"/>
    <w:rsid w:val="008B5FD9"/>
    <w:rsid w:val="008C2C15"/>
    <w:rsid w:val="008C7F9E"/>
    <w:rsid w:val="008D1077"/>
    <w:rsid w:val="00907E0D"/>
    <w:rsid w:val="009113D4"/>
    <w:rsid w:val="00923FD3"/>
    <w:rsid w:val="00935B34"/>
    <w:rsid w:val="00965AE0"/>
    <w:rsid w:val="00977C64"/>
    <w:rsid w:val="00995BB7"/>
    <w:rsid w:val="009A2AEB"/>
    <w:rsid w:val="009A48F7"/>
    <w:rsid w:val="009A6E86"/>
    <w:rsid w:val="009F0A83"/>
    <w:rsid w:val="009F54F1"/>
    <w:rsid w:val="00A2391E"/>
    <w:rsid w:val="00A705F6"/>
    <w:rsid w:val="00A77365"/>
    <w:rsid w:val="00AD2065"/>
    <w:rsid w:val="00AF1830"/>
    <w:rsid w:val="00AF7253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44CC"/>
    <w:rsid w:val="00C21D8B"/>
    <w:rsid w:val="00C67B1D"/>
    <w:rsid w:val="00C707D3"/>
    <w:rsid w:val="00C71B87"/>
    <w:rsid w:val="00CC7D5F"/>
    <w:rsid w:val="00CD4A2C"/>
    <w:rsid w:val="00D20A2B"/>
    <w:rsid w:val="00D2299D"/>
    <w:rsid w:val="00D23355"/>
    <w:rsid w:val="00D605AD"/>
    <w:rsid w:val="00D93669"/>
    <w:rsid w:val="00DB1389"/>
    <w:rsid w:val="00DC5FDC"/>
    <w:rsid w:val="00DE7934"/>
    <w:rsid w:val="00E619A9"/>
    <w:rsid w:val="00E93C1B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87CCD"/>
    <w:rsid w:val="00FB288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Sayfa1!$P$2</c:f>
              <c:strCache>
                <c:ptCount val="1"/>
                <c:pt idx="0">
                  <c:v>İşgücü (Laborforce)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numRef>
              <c:f>Sayfa1!$O$3:$O$15</c:f>
              <c:numCache>
                <c:formatCode>mmm\-yy</c:formatCode>
                <c:ptCount val="13"/>
                <c:pt idx="0">
                  <c:v>42430</c:v>
                </c:pt>
                <c:pt idx="1">
                  <c:v>42461</c:v>
                </c:pt>
                <c:pt idx="2">
                  <c:v>42491</c:v>
                </c:pt>
                <c:pt idx="3">
                  <c:v>42522</c:v>
                </c:pt>
                <c:pt idx="4">
                  <c:v>42552</c:v>
                </c:pt>
                <c:pt idx="5">
                  <c:v>42583</c:v>
                </c:pt>
                <c:pt idx="6">
                  <c:v>42614</c:v>
                </c:pt>
                <c:pt idx="7">
                  <c:v>42644</c:v>
                </c:pt>
                <c:pt idx="8">
                  <c:v>42675</c:v>
                </c:pt>
                <c:pt idx="9">
                  <c:v>42705</c:v>
                </c:pt>
                <c:pt idx="10">
                  <c:v>42736</c:v>
                </c:pt>
                <c:pt idx="11">
                  <c:v>42767</c:v>
                </c:pt>
                <c:pt idx="12">
                  <c:v>42795</c:v>
                </c:pt>
              </c:numCache>
            </c:numRef>
          </c:cat>
          <c:val>
            <c:numRef>
              <c:f>Sayfa1!$P$3:$P$15</c:f>
              <c:numCache>
                <c:formatCode>_-* #,##0.0\ _₺_-;\-* #,##0.0\ _₺_-;_-* "-"??\ _₺_-;_-@_-</c:formatCode>
                <c:ptCount val="13"/>
                <c:pt idx="0">
                  <c:v>30.015999999999998</c:v>
                </c:pt>
                <c:pt idx="1">
                  <c:v>30.462</c:v>
                </c:pt>
                <c:pt idx="2">
                  <c:v>30.763000000000002</c:v>
                </c:pt>
                <c:pt idx="3">
                  <c:v>30.777999999999999</c:v>
                </c:pt>
                <c:pt idx="4">
                  <c:v>30.960999999999999</c:v>
                </c:pt>
                <c:pt idx="5">
                  <c:v>30.966999999999999</c:v>
                </c:pt>
                <c:pt idx="6">
                  <c:v>31.087</c:v>
                </c:pt>
                <c:pt idx="7">
                  <c:v>30.914000000000001</c:v>
                </c:pt>
                <c:pt idx="8">
                  <c:v>30.780999999999999</c:v>
                </c:pt>
                <c:pt idx="9">
                  <c:v>30.54</c:v>
                </c:pt>
                <c:pt idx="10">
                  <c:v>30.658000000000001</c:v>
                </c:pt>
                <c:pt idx="11">
                  <c:v>30.855</c:v>
                </c:pt>
                <c:pt idx="12">
                  <c:v>31.131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Sayfa1!$Q$2</c:f>
              <c:strCache>
                <c:ptCount val="1"/>
                <c:pt idx="0">
                  <c:v>İstihdam (Employed)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numRef>
              <c:f>Sayfa1!$O$3:$O$15</c:f>
              <c:numCache>
                <c:formatCode>mmm\-yy</c:formatCode>
                <c:ptCount val="13"/>
                <c:pt idx="0">
                  <c:v>42430</c:v>
                </c:pt>
                <c:pt idx="1">
                  <c:v>42461</c:v>
                </c:pt>
                <c:pt idx="2">
                  <c:v>42491</c:v>
                </c:pt>
                <c:pt idx="3">
                  <c:v>42522</c:v>
                </c:pt>
                <c:pt idx="4">
                  <c:v>42552</c:v>
                </c:pt>
                <c:pt idx="5">
                  <c:v>42583</c:v>
                </c:pt>
                <c:pt idx="6">
                  <c:v>42614</c:v>
                </c:pt>
                <c:pt idx="7">
                  <c:v>42644</c:v>
                </c:pt>
                <c:pt idx="8">
                  <c:v>42675</c:v>
                </c:pt>
                <c:pt idx="9">
                  <c:v>42705</c:v>
                </c:pt>
                <c:pt idx="10">
                  <c:v>42736</c:v>
                </c:pt>
                <c:pt idx="11">
                  <c:v>42767</c:v>
                </c:pt>
                <c:pt idx="12">
                  <c:v>42795</c:v>
                </c:pt>
              </c:numCache>
            </c:numRef>
          </c:cat>
          <c:val>
            <c:numRef>
              <c:f>Sayfa1!$Q$3:$Q$15</c:f>
              <c:numCache>
                <c:formatCode>_-* #,##0.0\ _₺_-;\-* #,##0.0\ _₺_-;_-* "-"??\ _₺_-;_-@_-</c:formatCode>
                <c:ptCount val="13"/>
                <c:pt idx="0">
                  <c:v>26.992999999999999</c:v>
                </c:pt>
                <c:pt idx="1">
                  <c:v>27.638000000000002</c:v>
                </c:pt>
                <c:pt idx="2">
                  <c:v>27.867000000000001</c:v>
                </c:pt>
                <c:pt idx="3">
                  <c:v>27.651</c:v>
                </c:pt>
                <c:pt idx="4">
                  <c:v>27.635999999999999</c:v>
                </c:pt>
                <c:pt idx="5">
                  <c:v>27.472999999999999</c:v>
                </c:pt>
                <c:pt idx="6">
                  <c:v>27.564</c:v>
                </c:pt>
                <c:pt idx="7">
                  <c:v>27.266999999999999</c:v>
                </c:pt>
                <c:pt idx="8">
                  <c:v>27.067</c:v>
                </c:pt>
                <c:pt idx="9">
                  <c:v>26.669</c:v>
                </c:pt>
                <c:pt idx="10">
                  <c:v>26.672000000000001</c:v>
                </c:pt>
                <c:pt idx="11">
                  <c:v>26.956</c:v>
                </c:pt>
                <c:pt idx="12">
                  <c:v>27.489000000000001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90748800"/>
        <c:axId val="90750336"/>
      </c:lineChart>
      <c:dateAx>
        <c:axId val="907488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90750336"/>
        <c:crosses val="autoZero"/>
        <c:auto val="1"/>
        <c:lblOffset val="100"/>
        <c:baseTimeUnit val="months"/>
      </c:dateAx>
      <c:valAx>
        <c:axId val="907503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</a:t>
                </a:r>
                <a:endParaRPr lang="en-US"/>
              </a:p>
            </c:rich>
          </c:tx>
          <c:overlay val="0"/>
        </c:title>
        <c:numFmt formatCode="_-* #,##0.0\ _₺_-;\-* #,##0.0\ _₺_-;_-* &quot;-&quot;??\ _₺_-;_-@_-" sourceLinked="1"/>
        <c:majorTickMark val="out"/>
        <c:minorTickMark val="none"/>
        <c:tickLblPos val="nextTo"/>
        <c:crossAx val="90748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Sayfa1!$B$36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Sayfa1!$C$35:$H$35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 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Sayfa1!$C$36:$H$36</c:f>
              <c:numCache>
                <c:formatCode>0.0</c:formatCode>
                <c:ptCount val="6"/>
                <c:pt idx="0">
                  <c:v>59.634</c:v>
                </c:pt>
                <c:pt idx="1">
                  <c:v>31.131</c:v>
                </c:pt>
                <c:pt idx="2">
                  <c:v>5.085</c:v>
                </c:pt>
                <c:pt idx="3">
                  <c:v>22.402999999999999</c:v>
                </c:pt>
                <c:pt idx="4">
                  <c:v>3.6419999999999999</c:v>
                </c:pt>
                <c:pt idx="5">
                  <c:v>28.504000000000001</c:v>
                </c:pt>
              </c:numCache>
            </c:numRef>
          </c:val>
        </c:ser>
        <c:ser>
          <c:idx val="1"/>
          <c:order val="1"/>
          <c:tx>
            <c:strRef>
              <c:f>Sayfa1!$B$37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Sayfa1!$C$35:$H$35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 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Sayfa1!$C$37:$H$37</c:f>
              <c:numCache>
                <c:formatCode>0.0</c:formatCode>
                <c:ptCount val="6"/>
                <c:pt idx="0">
                  <c:v>29.512</c:v>
                </c:pt>
                <c:pt idx="1">
                  <c:v>21.233000000000001</c:v>
                </c:pt>
                <c:pt idx="2">
                  <c:v>2.8679999999999999</c:v>
                </c:pt>
                <c:pt idx="3">
                  <c:v>16.135999999999999</c:v>
                </c:pt>
                <c:pt idx="4">
                  <c:v>2.2290000000000001</c:v>
                </c:pt>
                <c:pt idx="5">
                  <c:v>8.2789999999999999</c:v>
                </c:pt>
              </c:numCache>
            </c:numRef>
          </c:val>
        </c:ser>
        <c:ser>
          <c:idx val="2"/>
          <c:order val="2"/>
          <c:tx>
            <c:strRef>
              <c:f>Sayfa1!$B$38</c:f>
              <c:strCache>
                <c:ptCount val="1"/>
                <c:pt idx="0">
                  <c:v>Kadın</c:v>
                </c:pt>
              </c:strCache>
            </c:strRef>
          </c:tx>
          <c:invertIfNegative val="0"/>
          <c:cat>
            <c:strRef>
              <c:f>Sayfa1!$C$35:$H$35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 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Sayfa1!$C$38:$H$38</c:f>
              <c:numCache>
                <c:formatCode>0.0</c:formatCode>
                <c:ptCount val="6"/>
                <c:pt idx="0">
                  <c:v>30.123000000000001</c:v>
                </c:pt>
                <c:pt idx="1">
                  <c:v>9.8979999999999997</c:v>
                </c:pt>
                <c:pt idx="2">
                  <c:v>2.218</c:v>
                </c:pt>
                <c:pt idx="3">
                  <c:v>6.2670000000000003</c:v>
                </c:pt>
                <c:pt idx="4">
                  <c:v>1.413</c:v>
                </c:pt>
                <c:pt idx="5">
                  <c:v>20.225000000000001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999040"/>
        <c:axId val="89000576"/>
      </c:barChart>
      <c:catAx>
        <c:axId val="8899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89000576"/>
        <c:crosses val="autoZero"/>
        <c:auto val="1"/>
        <c:lblAlgn val="ctr"/>
        <c:lblOffset val="100"/>
        <c:noMultiLvlLbl val="0"/>
      </c:catAx>
      <c:valAx>
        <c:axId val="8900057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88999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Sayfa1!$B$25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Sayfa1!$C$24:$F$24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Sayfa1!$C$25:$F$25</c:f>
              <c:numCache>
                <c:formatCode>0.00</c:formatCode>
                <c:ptCount val="4"/>
                <c:pt idx="0">
                  <c:v>57.3</c:v>
                </c:pt>
                <c:pt idx="1">
                  <c:v>50.4</c:v>
                </c:pt>
                <c:pt idx="2">
                  <c:v>12</c:v>
                </c:pt>
                <c:pt idx="3">
                  <c:v>13.8</c:v>
                </c:pt>
              </c:numCache>
            </c:numRef>
          </c:val>
        </c:ser>
        <c:ser>
          <c:idx val="1"/>
          <c:order val="1"/>
          <c:tx>
            <c:strRef>
              <c:f>Sayfa1!$B$26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Sayfa1!$C$24:$F$24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Sayfa1!$C$26:$F$26</c:f>
              <c:numCache>
                <c:formatCode>0.00</c:formatCode>
                <c:ptCount val="4"/>
                <c:pt idx="0">
                  <c:v>77.599999999999994</c:v>
                </c:pt>
                <c:pt idx="1">
                  <c:v>69.3</c:v>
                </c:pt>
                <c:pt idx="2">
                  <c:v>10.8</c:v>
                </c:pt>
                <c:pt idx="3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Sayfa1!$B$27</c:f>
              <c:strCache>
                <c:ptCount val="1"/>
                <c:pt idx="0">
                  <c:v>Kadın</c:v>
                </c:pt>
              </c:strCache>
            </c:strRef>
          </c:tx>
          <c:invertIfNegative val="0"/>
          <c:cat>
            <c:strRef>
              <c:f>Sayfa1!$C$24:$F$24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Sayfa1!$C$27:$F$27</c:f>
              <c:numCache>
                <c:formatCode>0.00</c:formatCode>
                <c:ptCount val="4"/>
                <c:pt idx="0">
                  <c:v>36.799999999999997</c:v>
                </c:pt>
                <c:pt idx="1">
                  <c:v>31.4</c:v>
                </c:pt>
                <c:pt idx="2">
                  <c:v>14.5</c:v>
                </c:pt>
                <c:pt idx="3">
                  <c:v>18.399999999999999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47488"/>
        <c:axId val="156449024"/>
      </c:barChart>
      <c:catAx>
        <c:axId val="15644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449024"/>
        <c:crosses val="autoZero"/>
        <c:auto val="1"/>
        <c:lblAlgn val="ctr"/>
        <c:lblOffset val="100"/>
        <c:noMultiLvlLbl val="0"/>
      </c:catAx>
      <c:valAx>
        <c:axId val="156449024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crossAx val="156447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9D046-5B71-454C-885D-E200EDE3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2015-01-15T08:00:00Z</cp:lastPrinted>
  <dcterms:created xsi:type="dcterms:W3CDTF">2017-06-19T07:07:00Z</dcterms:created>
  <dcterms:modified xsi:type="dcterms:W3CDTF">2017-06-19T07:07:00Z</dcterms:modified>
</cp:coreProperties>
</file>